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C4369" w14:textId="77777777" w:rsidR="006567C0" w:rsidRPr="004D22BD" w:rsidRDefault="006567C0" w:rsidP="006567C0">
      <w:proofErr w:type="spellStart"/>
      <w:r>
        <w:rPr>
          <w:b/>
          <w:bCs/>
          <w:sz w:val="24"/>
          <w:szCs w:val="24"/>
        </w:rPr>
        <w:t>Chlorothalonil</w:t>
      </w:r>
      <w:proofErr w:type="spellEnd"/>
      <w:r>
        <w:rPr>
          <w:b/>
          <w:bCs/>
          <w:sz w:val="24"/>
          <w:szCs w:val="24"/>
        </w:rPr>
        <w:t>-Rückstände im Trinkwasser</w:t>
      </w:r>
      <w:r>
        <w:rPr>
          <w:b/>
          <w:bCs/>
          <w:sz w:val="24"/>
          <w:szCs w:val="24"/>
        </w:rPr>
        <w:tab/>
      </w:r>
      <w:r>
        <w:rPr>
          <w:b/>
          <w:bCs/>
          <w:sz w:val="24"/>
          <w:szCs w:val="24"/>
        </w:rPr>
        <w:tab/>
      </w:r>
      <w:r>
        <w:rPr>
          <w:b/>
          <w:bCs/>
          <w:sz w:val="24"/>
          <w:szCs w:val="24"/>
        </w:rPr>
        <w:tab/>
      </w:r>
      <w:r w:rsidRPr="004D22BD">
        <w:t xml:space="preserve">Schmitten, den </w:t>
      </w:r>
      <w:r>
        <w:t>08.08.2024</w:t>
      </w:r>
    </w:p>
    <w:p w14:paraId="72430C73" w14:textId="77777777" w:rsidR="006567C0" w:rsidRDefault="006567C0" w:rsidP="006567C0">
      <w:pPr>
        <w:rPr>
          <w:b/>
          <w:bCs/>
          <w:sz w:val="24"/>
          <w:szCs w:val="24"/>
        </w:rPr>
      </w:pPr>
      <w:r>
        <w:rPr>
          <w:b/>
          <w:bCs/>
          <w:sz w:val="24"/>
          <w:szCs w:val="24"/>
        </w:rPr>
        <w:t>Information über den aktuellen Stand</w:t>
      </w:r>
    </w:p>
    <w:p w14:paraId="11419AFB" w14:textId="77777777" w:rsidR="006567C0" w:rsidRDefault="006567C0" w:rsidP="006567C0">
      <w:pPr>
        <w:rPr>
          <w:b/>
          <w:bCs/>
          <w:sz w:val="24"/>
          <w:szCs w:val="24"/>
        </w:rPr>
      </w:pPr>
    </w:p>
    <w:p w14:paraId="1CE344C3" w14:textId="77777777" w:rsidR="006567C0" w:rsidRPr="00745E1A" w:rsidRDefault="006567C0" w:rsidP="006567C0">
      <w:pPr>
        <w:jc w:val="both"/>
      </w:pPr>
      <w:proofErr w:type="spellStart"/>
      <w:r w:rsidRPr="00745E1A">
        <w:t>Chlorothalonil</w:t>
      </w:r>
      <w:proofErr w:type="spellEnd"/>
      <w:r w:rsidRPr="00745E1A">
        <w:t xml:space="preserve"> ist ein Wirkstoff, der seit den 1970er-Jahren als Fungizid in Pflanzenschutzmitteln zugelassen war. Er wurde hauptsächlich im Getreide-, Gemüse-, Wein- und Zierpflanzenbau eingesetzt. Infolge einer Neubewertung von </w:t>
      </w:r>
      <w:proofErr w:type="spellStart"/>
      <w:r w:rsidRPr="00745E1A">
        <w:t>Chlorothalonil</w:t>
      </w:r>
      <w:proofErr w:type="spellEnd"/>
      <w:r w:rsidRPr="00745E1A">
        <w:t xml:space="preserve">, die im Jahre 2019 durch die zuständigen Bundesstellen stattfand, hat das Bundesamt für Landwirtschaft (BLW) im Dezember 2019 mit Wirkung auf den 1. Januar 2020 den Einsatz von </w:t>
      </w:r>
      <w:proofErr w:type="spellStart"/>
      <w:r w:rsidRPr="00745E1A">
        <w:t>Chlorothalonil</w:t>
      </w:r>
      <w:proofErr w:type="spellEnd"/>
      <w:r w:rsidRPr="00745E1A">
        <w:t xml:space="preserve"> verboten.</w:t>
      </w:r>
    </w:p>
    <w:p w14:paraId="55D19B72" w14:textId="77777777" w:rsidR="006567C0" w:rsidRDefault="006567C0" w:rsidP="006567C0">
      <w:pPr>
        <w:spacing w:before="120"/>
        <w:jc w:val="both"/>
      </w:pPr>
      <w:r w:rsidRPr="00745E1A">
        <w:t xml:space="preserve">Die Überschreitung des Vorsorgegrenzwertes ist nicht relevant für ein wissenschaftlich anerkanntes Gesundheitsrisiko. Das Vorsorgeprinzip lädt die Behörden ein, Schutzmassnahmen auch bereits dann zu ergreifen, wenn man einen Schaden zwar befürchtet, aber noch nicht sicher weiss, ob und mit welcher Wahrscheinlichkeit dieser eintritt. Dieser Grenzwert wird festgelegt, indem der </w:t>
      </w:r>
      <w:proofErr w:type="spellStart"/>
      <w:r w:rsidRPr="00745E1A">
        <w:t>tiefstmögliche</w:t>
      </w:r>
      <w:proofErr w:type="spellEnd"/>
      <w:r w:rsidRPr="00745E1A">
        <w:t xml:space="preserve"> technisch realistische und ökonomisch akzeptable Wert, unabhängig von gesundheitlichen Erwägungen, definiert wird. </w:t>
      </w:r>
    </w:p>
    <w:p w14:paraId="2C555694" w14:textId="77777777" w:rsidR="006567C0" w:rsidRPr="00745E1A" w:rsidRDefault="006567C0" w:rsidP="006567C0">
      <w:pPr>
        <w:spacing w:before="120"/>
        <w:jc w:val="both"/>
        <w:rPr>
          <w:b/>
          <w:bCs/>
        </w:rPr>
      </w:pPr>
      <w:r w:rsidRPr="00745E1A">
        <w:rPr>
          <w:b/>
          <w:bCs/>
        </w:rPr>
        <w:t xml:space="preserve">Eine Gesundheitsgefährdung besteht dadurch nicht. Das Trinkwasser der Gemeinde Schmitten respektive des Zweckverbands </w:t>
      </w:r>
      <w:proofErr w:type="spellStart"/>
      <w:r w:rsidRPr="00745E1A">
        <w:rPr>
          <w:b/>
          <w:bCs/>
        </w:rPr>
        <w:t>Sodbach</w:t>
      </w:r>
      <w:proofErr w:type="spellEnd"/>
      <w:r w:rsidRPr="00745E1A">
        <w:rPr>
          <w:b/>
          <w:bCs/>
        </w:rPr>
        <w:t xml:space="preserve"> kann bedenkenlos konsumiert werden.</w:t>
      </w:r>
    </w:p>
    <w:p w14:paraId="27206B0D" w14:textId="364C8B77" w:rsidR="006567C0" w:rsidRPr="00745E1A" w:rsidRDefault="006567C0" w:rsidP="006567C0">
      <w:pPr>
        <w:spacing w:before="120"/>
        <w:jc w:val="both"/>
      </w:pPr>
    </w:p>
    <w:p w14:paraId="21B79695" w14:textId="258668CB" w:rsidR="006567C0" w:rsidRPr="00745E1A" w:rsidRDefault="006567C0" w:rsidP="006567C0">
      <w:pPr>
        <w:spacing w:before="120" w:after="120"/>
        <w:jc w:val="both"/>
      </w:pPr>
      <w:r>
        <w:t>Untenstehend die aktuellen Ergebnisse der Analyse vom 07.05.2024.</w:t>
      </w:r>
    </w:p>
    <w:tbl>
      <w:tblPr>
        <w:tblStyle w:val="Tabellenraster"/>
        <w:tblW w:w="0" w:type="auto"/>
        <w:tblLook w:val="04A0" w:firstRow="1" w:lastRow="0" w:firstColumn="1" w:lastColumn="0" w:noHBand="0" w:noVBand="1"/>
      </w:tblPr>
      <w:tblGrid>
        <w:gridCol w:w="1812"/>
        <w:gridCol w:w="1812"/>
        <w:gridCol w:w="1812"/>
        <w:gridCol w:w="1813"/>
        <w:gridCol w:w="1813"/>
      </w:tblGrid>
      <w:tr w:rsidR="006567C0" w14:paraId="27BF85E7" w14:textId="77777777" w:rsidTr="0000770A">
        <w:tc>
          <w:tcPr>
            <w:tcW w:w="1812" w:type="dxa"/>
          </w:tcPr>
          <w:p w14:paraId="1B18A933" w14:textId="77777777" w:rsidR="006567C0" w:rsidRPr="0066465E" w:rsidRDefault="006567C0" w:rsidP="0000770A">
            <w:pPr>
              <w:jc w:val="both"/>
              <w:rPr>
                <w:sz w:val="18"/>
                <w:szCs w:val="18"/>
              </w:rPr>
            </w:pPr>
            <w:r w:rsidRPr="0066465E">
              <w:rPr>
                <w:sz w:val="18"/>
                <w:szCs w:val="18"/>
              </w:rPr>
              <w:t>Metaboliten</w:t>
            </w:r>
          </w:p>
          <w:p w14:paraId="1C1FBF8E" w14:textId="77777777" w:rsidR="006567C0" w:rsidRPr="0066465E" w:rsidRDefault="006567C0" w:rsidP="0000770A">
            <w:pPr>
              <w:spacing w:after="120"/>
              <w:jc w:val="both"/>
              <w:rPr>
                <w:sz w:val="18"/>
                <w:szCs w:val="18"/>
              </w:rPr>
            </w:pPr>
            <w:r w:rsidRPr="0066465E">
              <w:rPr>
                <w:sz w:val="18"/>
                <w:szCs w:val="18"/>
              </w:rPr>
              <w:t xml:space="preserve">(Abbauprodukte von </w:t>
            </w:r>
            <w:proofErr w:type="spellStart"/>
            <w:r w:rsidRPr="0066465E">
              <w:rPr>
                <w:sz w:val="18"/>
                <w:szCs w:val="18"/>
              </w:rPr>
              <w:t>Chlorothalonil</w:t>
            </w:r>
            <w:proofErr w:type="spellEnd"/>
            <w:r w:rsidRPr="0066465E">
              <w:rPr>
                <w:sz w:val="18"/>
                <w:szCs w:val="18"/>
              </w:rPr>
              <w:t>)</w:t>
            </w:r>
          </w:p>
        </w:tc>
        <w:tc>
          <w:tcPr>
            <w:tcW w:w="1812" w:type="dxa"/>
          </w:tcPr>
          <w:p w14:paraId="09045CA4" w14:textId="77777777" w:rsidR="006567C0" w:rsidRDefault="006567C0" w:rsidP="0000770A">
            <w:pPr>
              <w:jc w:val="center"/>
              <w:rPr>
                <w:sz w:val="18"/>
                <w:szCs w:val="18"/>
              </w:rPr>
            </w:pPr>
            <w:r>
              <w:rPr>
                <w:sz w:val="18"/>
                <w:szCs w:val="18"/>
              </w:rPr>
              <w:t>Grenzwerte</w:t>
            </w:r>
          </w:p>
          <w:p w14:paraId="0762BFF2" w14:textId="77777777" w:rsidR="006567C0" w:rsidRPr="0066465E" w:rsidRDefault="006567C0" w:rsidP="0000770A">
            <w:pPr>
              <w:jc w:val="center"/>
              <w:rPr>
                <w:sz w:val="18"/>
                <w:szCs w:val="18"/>
              </w:rPr>
            </w:pPr>
            <w:r>
              <w:rPr>
                <w:rFonts w:cs="Arial"/>
                <w:sz w:val="18"/>
                <w:szCs w:val="18"/>
              </w:rPr>
              <w:t>µ</w:t>
            </w:r>
            <w:r>
              <w:rPr>
                <w:sz w:val="18"/>
                <w:szCs w:val="18"/>
              </w:rPr>
              <w:t>g/l</w:t>
            </w:r>
          </w:p>
        </w:tc>
        <w:tc>
          <w:tcPr>
            <w:tcW w:w="1812" w:type="dxa"/>
          </w:tcPr>
          <w:p w14:paraId="726A5B83" w14:textId="77777777" w:rsidR="006567C0" w:rsidRDefault="006567C0" w:rsidP="0000770A">
            <w:pPr>
              <w:jc w:val="center"/>
              <w:rPr>
                <w:sz w:val="18"/>
                <w:szCs w:val="18"/>
              </w:rPr>
            </w:pPr>
            <w:proofErr w:type="spellStart"/>
            <w:r>
              <w:rPr>
                <w:sz w:val="18"/>
                <w:szCs w:val="18"/>
              </w:rPr>
              <w:t>Sodbach</w:t>
            </w:r>
            <w:proofErr w:type="spellEnd"/>
          </w:p>
          <w:p w14:paraId="75459E0F" w14:textId="77777777" w:rsidR="006567C0" w:rsidRPr="0066465E" w:rsidRDefault="006567C0" w:rsidP="0000770A">
            <w:pPr>
              <w:jc w:val="center"/>
              <w:rPr>
                <w:sz w:val="18"/>
                <w:szCs w:val="18"/>
              </w:rPr>
            </w:pPr>
            <w:r>
              <w:rPr>
                <w:sz w:val="18"/>
                <w:szCs w:val="18"/>
              </w:rPr>
              <w:t>Grundwasser</w:t>
            </w:r>
          </w:p>
        </w:tc>
        <w:tc>
          <w:tcPr>
            <w:tcW w:w="1813" w:type="dxa"/>
          </w:tcPr>
          <w:p w14:paraId="0ACD8DD4" w14:textId="77777777" w:rsidR="006567C0" w:rsidRDefault="006567C0" w:rsidP="0000770A">
            <w:pPr>
              <w:jc w:val="center"/>
              <w:rPr>
                <w:sz w:val="18"/>
                <w:szCs w:val="18"/>
              </w:rPr>
            </w:pPr>
            <w:proofErr w:type="spellStart"/>
            <w:r>
              <w:rPr>
                <w:sz w:val="18"/>
                <w:szCs w:val="18"/>
              </w:rPr>
              <w:t>Wilerholz</w:t>
            </w:r>
            <w:proofErr w:type="spellEnd"/>
          </w:p>
          <w:p w14:paraId="0AC6B28B" w14:textId="77777777" w:rsidR="006567C0" w:rsidRPr="0066465E" w:rsidRDefault="006567C0" w:rsidP="0000770A">
            <w:pPr>
              <w:jc w:val="center"/>
              <w:rPr>
                <w:sz w:val="18"/>
                <w:szCs w:val="18"/>
              </w:rPr>
            </w:pPr>
            <w:r>
              <w:rPr>
                <w:sz w:val="18"/>
                <w:szCs w:val="18"/>
              </w:rPr>
              <w:t>Quelle</w:t>
            </w:r>
          </w:p>
        </w:tc>
        <w:tc>
          <w:tcPr>
            <w:tcW w:w="1813" w:type="dxa"/>
            <w:tcBorders>
              <w:tl2br w:val="single" w:sz="4" w:space="0" w:color="auto"/>
              <w:tr2bl w:val="single" w:sz="4" w:space="0" w:color="auto"/>
            </w:tcBorders>
          </w:tcPr>
          <w:p w14:paraId="03BC3EA4" w14:textId="77777777" w:rsidR="006567C0" w:rsidRDefault="006567C0" w:rsidP="0000770A">
            <w:pPr>
              <w:jc w:val="center"/>
              <w:rPr>
                <w:sz w:val="18"/>
                <w:szCs w:val="18"/>
              </w:rPr>
            </w:pPr>
            <w:proofErr w:type="spellStart"/>
            <w:r>
              <w:rPr>
                <w:sz w:val="18"/>
                <w:szCs w:val="18"/>
              </w:rPr>
              <w:t>Menzishaus</w:t>
            </w:r>
            <w:proofErr w:type="spellEnd"/>
          </w:p>
          <w:p w14:paraId="67BBB945" w14:textId="0186E312" w:rsidR="006567C0" w:rsidRPr="0066465E" w:rsidRDefault="006567C0" w:rsidP="0000770A">
            <w:pPr>
              <w:jc w:val="center"/>
              <w:rPr>
                <w:sz w:val="18"/>
                <w:szCs w:val="18"/>
              </w:rPr>
            </w:pPr>
            <w:r>
              <w:rPr>
                <w:sz w:val="18"/>
                <w:szCs w:val="18"/>
              </w:rPr>
              <w:t>Quelle</w:t>
            </w:r>
          </w:p>
        </w:tc>
      </w:tr>
      <w:tr w:rsidR="006567C0" w14:paraId="2D7514DC" w14:textId="77777777" w:rsidTr="0000770A">
        <w:tc>
          <w:tcPr>
            <w:tcW w:w="1812" w:type="dxa"/>
          </w:tcPr>
          <w:p w14:paraId="7980AFBA" w14:textId="77777777" w:rsidR="006567C0" w:rsidRPr="0066465E" w:rsidRDefault="006567C0" w:rsidP="0000770A">
            <w:pPr>
              <w:spacing w:before="60" w:after="60"/>
              <w:jc w:val="both"/>
              <w:rPr>
                <w:sz w:val="18"/>
                <w:szCs w:val="18"/>
              </w:rPr>
            </w:pPr>
            <w:r>
              <w:rPr>
                <w:sz w:val="18"/>
                <w:szCs w:val="18"/>
              </w:rPr>
              <w:t>R 471 811</w:t>
            </w:r>
          </w:p>
        </w:tc>
        <w:tc>
          <w:tcPr>
            <w:tcW w:w="1812" w:type="dxa"/>
          </w:tcPr>
          <w:p w14:paraId="58E27758" w14:textId="77777777" w:rsidR="006567C0" w:rsidRPr="0066465E" w:rsidRDefault="006567C0" w:rsidP="0000770A">
            <w:pPr>
              <w:spacing w:before="60" w:after="60"/>
              <w:jc w:val="center"/>
              <w:rPr>
                <w:sz w:val="18"/>
                <w:szCs w:val="18"/>
              </w:rPr>
            </w:pPr>
            <w:r>
              <w:rPr>
                <w:sz w:val="18"/>
                <w:szCs w:val="18"/>
              </w:rPr>
              <w:t>0.1</w:t>
            </w:r>
          </w:p>
        </w:tc>
        <w:tc>
          <w:tcPr>
            <w:tcW w:w="1812" w:type="dxa"/>
          </w:tcPr>
          <w:p w14:paraId="03093FB7" w14:textId="77777777" w:rsidR="006567C0" w:rsidRPr="00BE6C97" w:rsidRDefault="006567C0" w:rsidP="0000770A">
            <w:pPr>
              <w:spacing w:before="60" w:after="60"/>
              <w:jc w:val="center"/>
              <w:rPr>
                <w:b/>
                <w:bCs/>
                <w:sz w:val="18"/>
                <w:szCs w:val="18"/>
              </w:rPr>
            </w:pPr>
            <w:r w:rsidRPr="00BE6C97">
              <w:rPr>
                <w:b/>
                <w:bCs/>
                <w:sz w:val="18"/>
                <w:szCs w:val="18"/>
              </w:rPr>
              <w:t>0.</w:t>
            </w:r>
            <w:r>
              <w:rPr>
                <w:b/>
                <w:bCs/>
                <w:sz w:val="18"/>
                <w:szCs w:val="18"/>
              </w:rPr>
              <w:t>247 ± 0.074</w:t>
            </w:r>
          </w:p>
        </w:tc>
        <w:tc>
          <w:tcPr>
            <w:tcW w:w="1813" w:type="dxa"/>
          </w:tcPr>
          <w:p w14:paraId="14DE13AB" w14:textId="0D8472CB" w:rsidR="006567C0" w:rsidRPr="00686422" w:rsidRDefault="006567C0" w:rsidP="0000770A">
            <w:pPr>
              <w:spacing w:before="60" w:after="60"/>
              <w:jc w:val="center"/>
              <w:rPr>
                <w:b/>
                <w:bCs/>
                <w:sz w:val="18"/>
                <w:szCs w:val="18"/>
              </w:rPr>
            </w:pPr>
            <w:r w:rsidRPr="00686422">
              <w:rPr>
                <w:b/>
                <w:bCs/>
                <w:sz w:val="18"/>
                <w:szCs w:val="18"/>
              </w:rPr>
              <w:t>0.158</w:t>
            </w:r>
            <w:r w:rsidR="00E34975">
              <w:rPr>
                <w:b/>
                <w:bCs/>
                <w:sz w:val="18"/>
                <w:szCs w:val="18"/>
              </w:rPr>
              <w:t xml:space="preserve"> </w:t>
            </w:r>
            <w:r w:rsidRPr="00686422">
              <w:rPr>
                <w:b/>
                <w:bCs/>
                <w:sz w:val="18"/>
                <w:szCs w:val="18"/>
              </w:rPr>
              <w:t>±</w:t>
            </w:r>
            <w:r w:rsidR="00E34975">
              <w:rPr>
                <w:b/>
                <w:bCs/>
                <w:sz w:val="18"/>
                <w:szCs w:val="18"/>
              </w:rPr>
              <w:t xml:space="preserve"> </w:t>
            </w:r>
            <w:r w:rsidRPr="00686422">
              <w:rPr>
                <w:b/>
                <w:bCs/>
                <w:sz w:val="18"/>
                <w:szCs w:val="18"/>
              </w:rPr>
              <w:t>0.047</w:t>
            </w:r>
          </w:p>
        </w:tc>
        <w:tc>
          <w:tcPr>
            <w:tcW w:w="1813" w:type="dxa"/>
            <w:tcBorders>
              <w:tl2br w:val="single" w:sz="4" w:space="0" w:color="auto"/>
              <w:tr2bl w:val="single" w:sz="4" w:space="0" w:color="auto"/>
            </w:tcBorders>
          </w:tcPr>
          <w:p w14:paraId="26A545D7" w14:textId="2EC1DD51" w:rsidR="006567C0" w:rsidRPr="0066465E" w:rsidRDefault="00C96E76" w:rsidP="0000770A">
            <w:pPr>
              <w:spacing w:before="60" w:after="60"/>
              <w:jc w:val="center"/>
              <w:rPr>
                <w:sz w:val="18"/>
                <w:szCs w:val="18"/>
              </w:rPr>
            </w:pPr>
            <w:r>
              <w:rPr>
                <w:noProof/>
              </w:rPr>
              <mc:AlternateContent>
                <mc:Choice Requires="wps">
                  <w:drawing>
                    <wp:anchor distT="45720" distB="45720" distL="114300" distR="114300" simplePos="0" relativeHeight="251659264" behindDoc="0" locked="0" layoutInCell="1" allowOverlap="1" wp14:anchorId="2E5F8AC7" wp14:editId="65768D99">
                      <wp:simplePos x="0" y="0"/>
                      <wp:positionH relativeFrom="column">
                        <wp:posOffset>-312993</wp:posOffset>
                      </wp:positionH>
                      <wp:positionV relativeFrom="paragraph">
                        <wp:posOffset>221563</wp:posOffset>
                      </wp:positionV>
                      <wp:extent cx="1405722" cy="279580"/>
                      <wp:effectExtent l="334328" t="8572" r="319722" b="14923"/>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20618">
                                <a:off x="0" y="0"/>
                                <a:ext cx="1405722" cy="279580"/>
                              </a:xfrm>
                              <a:prstGeom prst="rect">
                                <a:avLst/>
                              </a:prstGeom>
                              <a:solidFill>
                                <a:srgbClr val="FF9999">
                                  <a:alpha val="43922"/>
                                </a:srgbClr>
                              </a:solidFill>
                              <a:ln>
                                <a:headEnd/>
                                <a:tailEnd/>
                              </a:ln>
                            </wps:spPr>
                            <wps:style>
                              <a:lnRef idx="2">
                                <a:schemeClr val="accent2"/>
                              </a:lnRef>
                              <a:fillRef idx="1">
                                <a:schemeClr val="lt1"/>
                              </a:fillRef>
                              <a:effectRef idx="0">
                                <a:schemeClr val="accent2"/>
                              </a:effectRef>
                              <a:fontRef idx="minor">
                                <a:schemeClr val="dk1"/>
                              </a:fontRef>
                            </wps:style>
                            <wps:txbx>
                              <w:txbxContent>
                                <w:p w14:paraId="2B7EDF9F" w14:textId="7C9BD3DB" w:rsidR="00C96E76" w:rsidRPr="00C96E76" w:rsidRDefault="00C96E76">
                                  <w:pPr>
                                    <w:rPr>
                                      <w:sz w:val="28"/>
                                      <w:szCs w:val="28"/>
                                      <w:lang w:val="de-DE"/>
                                    </w:rPr>
                                  </w:pPr>
                                  <w:proofErr w:type="spellStart"/>
                                  <w:r w:rsidRPr="00C96E76">
                                    <w:rPr>
                                      <w:sz w:val="28"/>
                                      <w:szCs w:val="28"/>
                                      <w:highlight w:val="red"/>
                                      <w:lang w:val="de-DE"/>
                                    </w:rPr>
                                    <w:t>Ausser</w:t>
                                  </w:r>
                                  <w:proofErr w:type="spellEnd"/>
                                  <w:r w:rsidRPr="00C96E76">
                                    <w:rPr>
                                      <w:sz w:val="28"/>
                                      <w:szCs w:val="28"/>
                                      <w:highlight w:val="red"/>
                                      <w:lang w:val="de-DE"/>
                                    </w:rPr>
                                    <w:t xml:space="preserve"> Betrieb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F8AC7" id="_x0000_t202" coordsize="21600,21600" o:spt="202" path="m,l,21600r21600,l21600,xe">
                      <v:stroke joinstyle="miter"/>
                      <v:path gradientshapeok="t" o:connecttype="rect"/>
                    </v:shapetype>
                    <v:shape id="Textfeld 2" o:spid="_x0000_s1026" type="#_x0000_t202" style="position:absolute;left:0;text-align:left;margin-left:-24.65pt;margin-top:17.45pt;width:110.7pt;height:22pt;rotation:-412809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" fillcolor="#f99" strokecolor="#e97132 [3205]" strokeweight="1pt">
                      <v:fill opacity="28784f"/>
                      <v:textbox>
                        <w:txbxContent>
                          <w:p w14:paraId="2B7EDF9F" w14:textId="7C9BD3DB" w:rsidR="00C96E76" w:rsidRPr="00C96E76" w:rsidRDefault="00C96E76">
                            <w:pPr>
                              <w:rPr>
                                <w:sz w:val="28"/>
                                <w:szCs w:val="28"/>
                                <w:lang w:val="de-DE"/>
                              </w:rPr>
                            </w:pPr>
                            <w:proofErr w:type="spellStart"/>
                            <w:r w:rsidRPr="00C96E76">
                              <w:rPr>
                                <w:sz w:val="28"/>
                                <w:szCs w:val="28"/>
                                <w:highlight w:val="red"/>
                                <w:lang w:val="de-DE"/>
                              </w:rPr>
                              <w:t>Ausser</w:t>
                            </w:r>
                            <w:proofErr w:type="spellEnd"/>
                            <w:r w:rsidRPr="00C96E76">
                              <w:rPr>
                                <w:sz w:val="28"/>
                                <w:szCs w:val="28"/>
                                <w:highlight w:val="red"/>
                                <w:lang w:val="de-DE"/>
                              </w:rPr>
                              <w:t xml:space="preserve"> Betrieb</w:t>
                            </w:r>
                          </w:p>
                        </w:txbxContent>
                      </v:textbox>
                    </v:shape>
                  </w:pict>
                </mc:Fallback>
              </mc:AlternateContent>
            </w:r>
            <w:r w:rsidR="006567C0" w:rsidRPr="00BE6C97">
              <w:rPr>
                <w:b/>
                <w:bCs/>
                <w:sz w:val="18"/>
                <w:szCs w:val="18"/>
              </w:rPr>
              <w:t>0.</w:t>
            </w:r>
            <w:r w:rsidR="006567C0">
              <w:rPr>
                <w:b/>
                <w:bCs/>
                <w:sz w:val="18"/>
                <w:szCs w:val="18"/>
              </w:rPr>
              <w:t xml:space="preserve">63 </w:t>
            </w:r>
            <w:r w:rsidR="006567C0">
              <w:rPr>
                <w:rFonts w:cs="Arial"/>
                <w:b/>
                <w:bCs/>
                <w:sz w:val="18"/>
                <w:szCs w:val="18"/>
              </w:rPr>
              <w:t>±</w:t>
            </w:r>
            <w:r w:rsidR="006567C0">
              <w:rPr>
                <w:b/>
                <w:bCs/>
                <w:sz w:val="18"/>
                <w:szCs w:val="18"/>
              </w:rPr>
              <w:t>0.19</w:t>
            </w:r>
          </w:p>
        </w:tc>
      </w:tr>
      <w:tr w:rsidR="006567C0" w14:paraId="6871450B" w14:textId="77777777" w:rsidTr="0000770A">
        <w:tc>
          <w:tcPr>
            <w:tcW w:w="1812" w:type="dxa"/>
          </w:tcPr>
          <w:p w14:paraId="7FAE07E5" w14:textId="77777777" w:rsidR="006567C0" w:rsidRPr="0066465E" w:rsidRDefault="006567C0" w:rsidP="0000770A">
            <w:pPr>
              <w:spacing w:before="60" w:after="60"/>
              <w:jc w:val="both"/>
              <w:rPr>
                <w:sz w:val="18"/>
                <w:szCs w:val="18"/>
              </w:rPr>
            </w:pPr>
            <w:r>
              <w:rPr>
                <w:sz w:val="18"/>
                <w:szCs w:val="18"/>
              </w:rPr>
              <w:t>R 611 968</w:t>
            </w:r>
          </w:p>
        </w:tc>
        <w:tc>
          <w:tcPr>
            <w:tcW w:w="1812" w:type="dxa"/>
          </w:tcPr>
          <w:p w14:paraId="5271E370" w14:textId="77777777" w:rsidR="006567C0" w:rsidRPr="0066465E" w:rsidRDefault="006567C0" w:rsidP="0000770A">
            <w:pPr>
              <w:spacing w:before="60" w:after="60"/>
              <w:jc w:val="center"/>
              <w:rPr>
                <w:sz w:val="18"/>
                <w:szCs w:val="18"/>
              </w:rPr>
            </w:pPr>
            <w:r>
              <w:rPr>
                <w:sz w:val="18"/>
                <w:szCs w:val="18"/>
              </w:rPr>
              <w:t>0.1</w:t>
            </w:r>
          </w:p>
        </w:tc>
        <w:tc>
          <w:tcPr>
            <w:tcW w:w="1812" w:type="dxa"/>
          </w:tcPr>
          <w:p w14:paraId="762F1447" w14:textId="77777777" w:rsidR="006567C0" w:rsidRPr="0066465E" w:rsidRDefault="006567C0" w:rsidP="0000770A">
            <w:pPr>
              <w:spacing w:before="60" w:after="60"/>
              <w:jc w:val="center"/>
              <w:rPr>
                <w:sz w:val="18"/>
                <w:szCs w:val="18"/>
              </w:rPr>
            </w:pPr>
            <w:r>
              <w:rPr>
                <w:sz w:val="18"/>
                <w:szCs w:val="18"/>
              </w:rPr>
              <w:t>&lt;0.010</w:t>
            </w:r>
          </w:p>
        </w:tc>
        <w:tc>
          <w:tcPr>
            <w:tcW w:w="1813" w:type="dxa"/>
          </w:tcPr>
          <w:p w14:paraId="0729EAC5" w14:textId="77777777" w:rsidR="006567C0" w:rsidRPr="0066465E" w:rsidRDefault="006567C0" w:rsidP="0000770A">
            <w:pPr>
              <w:spacing w:before="60" w:after="60"/>
              <w:jc w:val="center"/>
              <w:rPr>
                <w:sz w:val="18"/>
                <w:szCs w:val="18"/>
              </w:rPr>
            </w:pPr>
            <w:r>
              <w:rPr>
                <w:sz w:val="18"/>
                <w:szCs w:val="18"/>
              </w:rPr>
              <w:t>&lt;0.010</w:t>
            </w:r>
          </w:p>
        </w:tc>
        <w:tc>
          <w:tcPr>
            <w:tcW w:w="1813" w:type="dxa"/>
            <w:tcBorders>
              <w:tl2br w:val="single" w:sz="4" w:space="0" w:color="auto"/>
              <w:tr2bl w:val="single" w:sz="4" w:space="0" w:color="auto"/>
            </w:tcBorders>
          </w:tcPr>
          <w:p w14:paraId="6E204E85" w14:textId="3CA0D90C" w:rsidR="006567C0" w:rsidRPr="0066465E" w:rsidRDefault="006567C0" w:rsidP="0000770A">
            <w:pPr>
              <w:spacing w:before="60" w:after="60"/>
              <w:jc w:val="center"/>
              <w:rPr>
                <w:sz w:val="18"/>
                <w:szCs w:val="18"/>
              </w:rPr>
            </w:pPr>
            <w:r>
              <w:rPr>
                <w:sz w:val="18"/>
                <w:szCs w:val="18"/>
              </w:rPr>
              <w:t>&lt;0.01</w:t>
            </w:r>
          </w:p>
        </w:tc>
      </w:tr>
      <w:tr w:rsidR="006567C0" w14:paraId="6A059033" w14:textId="77777777" w:rsidTr="0000770A">
        <w:tc>
          <w:tcPr>
            <w:tcW w:w="1812" w:type="dxa"/>
          </w:tcPr>
          <w:p w14:paraId="5C72933B" w14:textId="77777777" w:rsidR="006567C0" w:rsidRPr="0066465E" w:rsidRDefault="006567C0" w:rsidP="0000770A">
            <w:pPr>
              <w:spacing w:before="60" w:after="60"/>
              <w:jc w:val="both"/>
              <w:rPr>
                <w:sz w:val="18"/>
                <w:szCs w:val="18"/>
              </w:rPr>
            </w:pPr>
            <w:r>
              <w:rPr>
                <w:sz w:val="18"/>
                <w:szCs w:val="18"/>
              </w:rPr>
              <w:t>R 417 888</w:t>
            </w:r>
          </w:p>
        </w:tc>
        <w:tc>
          <w:tcPr>
            <w:tcW w:w="1812" w:type="dxa"/>
          </w:tcPr>
          <w:p w14:paraId="32872F47" w14:textId="77777777" w:rsidR="006567C0" w:rsidRPr="0066465E" w:rsidRDefault="006567C0" w:rsidP="0000770A">
            <w:pPr>
              <w:spacing w:before="60" w:after="60"/>
              <w:jc w:val="center"/>
              <w:rPr>
                <w:sz w:val="18"/>
                <w:szCs w:val="18"/>
              </w:rPr>
            </w:pPr>
            <w:r>
              <w:rPr>
                <w:sz w:val="18"/>
                <w:szCs w:val="18"/>
              </w:rPr>
              <w:t>0.1</w:t>
            </w:r>
          </w:p>
        </w:tc>
        <w:tc>
          <w:tcPr>
            <w:tcW w:w="1812" w:type="dxa"/>
          </w:tcPr>
          <w:p w14:paraId="072D7F67" w14:textId="77777777" w:rsidR="006567C0" w:rsidRPr="0066465E" w:rsidRDefault="006567C0" w:rsidP="0000770A">
            <w:pPr>
              <w:spacing w:before="60" w:after="60"/>
              <w:jc w:val="center"/>
              <w:rPr>
                <w:sz w:val="18"/>
                <w:szCs w:val="18"/>
              </w:rPr>
            </w:pPr>
            <w:r>
              <w:rPr>
                <w:sz w:val="18"/>
                <w:szCs w:val="18"/>
              </w:rPr>
              <w:t>0.054 ± 0.016</w:t>
            </w:r>
          </w:p>
        </w:tc>
        <w:tc>
          <w:tcPr>
            <w:tcW w:w="1813" w:type="dxa"/>
          </w:tcPr>
          <w:p w14:paraId="777D4644" w14:textId="77777777" w:rsidR="006567C0" w:rsidRPr="0066465E" w:rsidRDefault="006567C0" w:rsidP="0000770A">
            <w:pPr>
              <w:spacing w:before="60" w:after="60"/>
              <w:jc w:val="center"/>
              <w:rPr>
                <w:sz w:val="18"/>
                <w:szCs w:val="18"/>
              </w:rPr>
            </w:pPr>
            <w:r>
              <w:rPr>
                <w:sz w:val="18"/>
                <w:szCs w:val="18"/>
              </w:rPr>
              <w:t>0.032 ± 0.009</w:t>
            </w:r>
          </w:p>
        </w:tc>
        <w:tc>
          <w:tcPr>
            <w:tcW w:w="1813" w:type="dxa"/>
            <w:tcBorders>
              <w:tl2br w:val="single" w:sz="4" w:space="0" w:color="auto"/>
              <w:tr2bl w:val="single" w:sz="4" w:space="0" w:color="auto"/>
            </w:tcBorders>
          </w:tcPr>
          <w:p w14:paraId="1BFD9338" w14:textId="32F10493" w:rsidR="006567C0" w:rsidRPr="0066465E" w:rsidRDefault="006567C0" w:rsidP="0000770A">
            <w:pPr>
              <w:spacing w:before="60" w:after="60"/>
              <w:jc w:val="center"/>
              <w:rPr>
                <w:sz w:val="18"/>
                <w:szCs w:val="18"/>
              </w:rPr>
            </w:pPr>
            <w:r>
              <w:rPr>
                <w:sz w:val="18"/>
                <w:szCs w:val="18"/>
              </w:rPr>
              <w:t>0.09</w:t>
            </w:r>
          </w:p>
        </w:tc>
      </w:tr>
      <w:tr w:rsidR="006567C0" w14:paraId="469B7ECA" w14:textId="77777777" w:rsidTr="0000770A">
        <w:tc>
          <w:tcPr>
            <w:tcW w:w="1812" w:type="dxa"/>
          </w:tcPr>
          <w:p w14:paraId="7279F1F4" w14:textId="77777777" w:rsidR="006567C0" w:rsidRPr="0066465E" w:rsidRDefault="006567C0" w:rsidP="0000770A">
            <w:pPr>
              <w:spacing w:before="60" w:after="60"/>
              <w:jc w:val="both"/>
              <w:rPr>
                <w:sz w:val="18"/>
                <w:szCs w:val="18"/>
              </w:rPr>
            </w:pPr>
            <w:r>
              <w:rPr>
                <w:sz w:val="18"/>
                <w:szCs w:val="18"/>
              </w:rPr>
              <w:t>SYN 507 900</w:t>
            </w:r>
          </w:p>
        </w:tc>
        <w:tc>
          <w:tcPr>
            <w:tcW w:w="1812" w:type="dxa"/>
          </w:tcPr>
          <w:p w14:paraId="4B442064" w14:textId="77777777" w:rsidR="006567C0" w:rsidRPr="0066465E" w:rsidRDefault="006567C0" w:rsidP="0000770A">
            <w:pPr>
              <w:spacing w:before="60" w:after="60"/>
              <w:jc w:val="center"/>
              <w:rPr>
                <w:sz w:val="18"/>
                <w:szCs w:val="18"/>
              </w:rPr>
            </w:pPr>
            <w:r>
              <w:rPr>
                <w:sz w:val="18"/>
                <w:szCs w:val="18"/>
              </w:rPr>
              <w:t>0.1</w:t>
            </w:r>
          </w:p>
        </w:tc>
        <w:tc>
          <w:tcPr>
            <w:tcW w:w="1812" w:type="dxa"/>
          </w:tcPr>
          <w:p w14:paraId="0F9B74D2" w14:textId="77777777" w:rsidR="006567C0" w:rsidRPr="0066465E" w:rsidRDefault="006567C0" w:rsidP="0000770A">
            <w:pPr>
              <w:spacing w:before="60" w:after="60"/>
              <w:jc w:val="center"/>
              <w:rPr>
                <w:sz w:val="18"/>
                <w:szCs w:val="18"/>
              </w:rPr>
            </w:pPr>
            <w:r>
              <w:rPr>
                <w:sz w:val="18"/>
                <w:szCs w:val="18"/>
              </w:rPr>
              <w:t>&lt;0.010</w:t>
            </w:r>
          </w:p>
        </w:tc>
        <w:tc>
          <w:tcPr>
            <w:tcW w:w="1813" w:type="dxa"/>
          </w:tcPr>
          <w:p w14:paraId="59DD639F" w14:textId="77777777" w:rsidR="006567C0" w:rsidRPr="0066465E" w:rsidRDefault="006567C0" w:rsidP="0000770A">
            <w:pPr>
              <w:spacing w:before="60" w:after="60"/>
              <w:jc w:val="center"/>
              <w:rPr>
                <w:sz w:val="18"/>
                <w:szCs w:val="18"/>
              </w:rPr>
            </w:pPr>
            <w:r>
              <w:rPr>
                <w:sz w:val="18"/>
                <w:szCs w:val="18"/>
              </w:rPr>
              <w:t>&lt;0.010</w:t>
            </w:r>
          </w:p>
        </w:tc>
        <w:tc>
          <w:tcPr>
            <w:tcW w:w="1813" w:type="dxa"/>
            <w:tcBorders>
              <w:tl2br w:val="single" w:sz="4" w:space="0" w:color="auto"/>
              <w:tr2bl w:val="single" w:sz="4" w:space="0" w:color="auto"/>
            </w:tcBorders>
          </w:tcPr>
          <w:p w14:paraId="1D43A19B" w14:textId="77777777" w:rsidR="006567C0" w:rsidRPr="0066465E" w:rsidRDefault="006567C0" w:rsidP="0000770A">
            <w:pPr>
              <w:spacing w:before="60" w:after="60"/>
              <w:jc w:val="center"/>
              <w:rPr>
                <w:sz w:val="18"/>
                <w:szCs w:val="18"/>
              </w:rPr>
            </w:pPr>
            <w:r>
              <w:rPr>
                <w:sz w:val="18"/>
                <w:szCs w:val="18"/>
              </w:rPr>
              <w:t>&lt;0.01</w:t>
            </w:r>
          </w:p>
        </w:tc>
      </w:tr>
      <w:tr w:rsidR="006567C0" w14:paraId="5CD5461E" w14:textId="77777777" w:rsidTr="0000770A">
        <w:tc>
          <w:tcPr>
            <w:tcW w:w="1812" w:type="dxa"/>
          </w:tcPr>
          <w:p w14:paraId="565BF029" w14:textId="77777777" w:rsidR="006567C0" w:rsidRPr="0066465E" w:rsidRDefault="006567C0" w:rsidP="0000770A">
            <w:pPr>
              <w:spacing w:before="60" w:after="60"/>
              <w:jc w:val="both"/>
              <w:rPr>
                <w:sz w:val="18"/>
                <w:szCs w:val="18"/>
              </w:rPr>
            </w:pPr>
            <w:r>
              <w:rPr>
                <w:sz w:val="18"/>
                <w:szCs w:val="18"/>
              </w:rPr>
              <w:t>SYN 548 581</w:t>
            </w:r>
          </w:p>
        </w:tc>
        <w:tc>
          <w:tcPr>
            <w:tcW w:w="1812" w:type="dxa"/>
          </w:tcPr>
          <w:p w14:paraId="20193A80" w14:textId="77777777" w:rsidR="006567C0" w:rsidRPr="0066465E" w:rsidRDefault="006567C0" w:rsidP="0000770A">
            <w:pPr>
              <w:spacing w:before="60" w:after="60"/>
              <w:jc w:val="center"/>
              <w:rPr>
                <w:sz w:val="18"/>
                <w:szCs w:val="18"/>
              </w:rPr>
            </w:pPr>
            <w:r>
              <w:rPr>
                <w:sz w:val="18"/>
                <w:szCs w:val="18"/>
              </w:rPr>
              <w:t>0.1</w:t>
            </w:r>
          </w:p>
        </w:tc>
        <w:tc>
          <w:tcPr>
            <w:tcW w:w="1812" w:type="dxa"/>
          </w:tcPr>
          <w:p w14:paraId="02E5FFAB" w14:textId="77777777" w:rsidR="006567C0" w:rsidRPr="0066465E" w:rsidRDefault="006567C0" w:rsidP="0000770A">
            <w:pPr>
              <w:spacing w:before="60" w:after="60"/>
              <w:jc w:val="center"/>
              <w:rPr>
                <w:sz w:val="18"/>
                <w:szCs w:val="18"/>
              </w:rPr>
            </w:pPr>
            <w:r>
              <w:rPr>
                <w:sz w:val="18"/>
                <w:szCs w:val="18"/>
              </w:rPr>
              <w:t>&lt;0.050</w:t>
            </w:r>
          </w:p>
        </w:tc>
        <w:tc>
          <w:tcPr>
            <w:tcW w:w="1813" w:type="dxa"/>
          </w:tcPr>
          <w:p w14:paraId="4C8DFB51" w14:textId="77777777" w:rsidR="006567C0" w:rsidRPr="0066465E" w:rsidRDefault="006567C0" w:rsidP="0000770A">
            <w:pPr>
              <w:spacing w:before="60" w:after="60"/>
              <w:jc w:val="center"/>
              <w:rPr>
                <w:sz w:val="18"/>
                <w:szCs w:val="18"/>
              </w:rPr>
            </w:pPr>
            <w:r>
              <w:rPr>
                <w:sz w:val="18"/>
                <w:szCs w:val="18"/>
              </w:rPr>
              <w:t>&lt;0.050</w:t>
            </w:r>
          </w:p>
        </w:tc>
        <w:tc>
          <w:tcPr>
            <w:tcW w:w="1813" w:type="dxa"/>
            <w:tcBorders>
              <w:tl2br w:val="single" w:sz="4" w:space="0" w:color="auto"/>
              <w:tr2bl w:val="single" w:sz="4" w:space="0" w:color="auto"/>
            </w:tcBorders>
          </w:tcPr>
          <w:p w14:paraId="7DEF351B" w14:textId="77777777" w:rsidR="006567C0" w:rsidRPr="0066465E" w:rsidRDefault="006567C0" w:rsidP="0000770A">
            <w:pPr>
              <w:spacing w:before="60" w:after="60"/>
              <w:jc w:val="center"/>
              <w:rPr>
                <w:sz w:val="18"/>
                <w:szCs w:val="18"/>
              </w:rPr>
            </w:pPr>
            <w:r>
              <w:rPr>
                <w:sz w:val="18"/>
                <w:szCs w:val="18"/>
              </w:rPr>
              <w:t>&lt;0.05</w:t>
            </w:r>
          </w:p>
        </w:tc>
      </w:tr>
    </w:tbl>
    <w:p w14:paraId="7CEFC9BB" w14:textId="77777777" w:rsidR="006567C0" w:rsidRDefault="006567C0" w:rsidP="006567C0">
      <w:pPr>
        <w:spacing w:before="120"/>
        <w:jc w:val="both"/>
      </w:pPr>
    </w:p>
    <w:p w14:paraId="161B0D29" w14:textId="77777777" w:rsidR="006567C0" w:rsidRDefault="006567C0" w:rsidP="006567C0">
      <w:pPr>
        <w:spacing w:before="120"/>
        <w:jc w:val="both"/>
      </w:pPr>
      <w:r w:rsidRPr="00745E1A">
        <w:t xml:space="preserve">Der Wert liegt somit nur beim Metaboliten R 471 811 über dem Vorsorgegrenzwert von 0,1 </w:t>
      </w:r>
      <w:r w:rsidRPr="00745E1A">
        <w:rPr>
          <w:rFonts w:cs="Arial"/>
        </w:rPr>
        <w:t>µ</w:t>
      </w:r>
      <w:r w:rsidRPr="00745E1A">
        <w:t>g/l.</w:t>
      </w:r>
    </w:p>
    <w:p w14:paraId="26D4AC0C" w14:textId="4EE93298" w:rsidR="006567C0" w:rsidRDefault="006567C0" w:rsidP="006567C0">
      <w:pPr>
        <w:spacing w:before="120"/>
        <w:jc w:val="both"/>
      </w:pPr>
      <w:r>
        <w:t>Zum Vorjahr sank de</w:t>
      </w:r>
      <w:r w:rsidR="00E34975">
        <w:t>r Wert des</w:t>
      </w:r>
      <w:r>
        <w:t xml:space="preserve"> Metaboliten R 471 811 von 0.317 auf 0.247 (</w:t>
      </w:r>
      <w:proofErr w:type="spellStart"/>
      <w:r>
        <w:t>Sodbach</w:t>
      </w:r>
      <w:proofErr w:type="spellEnd"/>
      <w:r>
        <w:t>) beziehungsweise 0.254 auf 0.158 (</w:t>
      </w:r>
      <w:proofErr w:type="spellStart"/>
      <w:r>
        <w:t>Wilerholz</w:t>
      </w:r>
      <w:proofErr w:type="spellEnd"/>
      <w:r>
        <w:t xml:space="preserve">) </w:t>
      </w:r>
    </w:p>
    <w:p w14:paraId="47D90D25" w14:textId="77777777" w:rsidR="006567C0" w:rsidRPr="00F85C7D" w:rsidRDefault="006567C0" w:rsidP="006567C0">
      <w:pPr>
        <w:spacing w:before="120"/>
        <w:jc w:val="both"/>
      </w:pPr>
      <w:r>
        <w:t xml:space="preserve">Weiterführende Informationen finden Sie mit dem </w:t>
      </w:r>
      <w:r w:rsidRPr="00745E1A">
        <w:t>Suchbegriff "</w:t>
      </w:r>
      <w:proofErr w:type="spellStart"/>
      <w:r w:rsidRPr="00745E1A">
        <w:t>Chlorothalonil</w:t>
      </w:r>
      <w:proofErr w:type="spellEnd"/>
      <w:r w:rsidRPr="00745E1A">
        <w:t>" auf der Webs</w:t>
      </w:r>
      <w:r>
        <w:t>e</w:t>
      </w:r>
      <w:r w:rsidRPr="00745E1A">
        <w:t xml:space="preserve">ite </w:t>
      </w:r>
      <w:r>
        <w:t xml:space="preserve">des Bundesamtes für Lebensmittelsicherheit und Veterinärwesen </w:t>
      </w:r>
      <w:hyperlink r:id="rId4" w:history="1">
        <w:r w:rsidRPr="008C10EA">
          <w:rPr>
            <w:rStyle w:val="Hyperlink"/>
          </w:rPr>
          <w:t>www.blv.admin.ch</w:t>
        </w:r>
      </w:hyperlink>
      <w:r>
        <w:t xml:space="preserve"> und des kantonalen Amts für Lebensmittelsicherheit und Veterinärwesen </w:t>
      </w:r>
      <w:hyperlink r:id="rId5" w:history="1">
        <w:r w:rsidRPr="005600AD">
          <w:rPr>
            <w:rStyle w:val="Hyperlink"/>
          </w:rPr>
          <w:t>www.fr.ch/lsvw</w:t>
        </w:r>
      </w:hyperlink>
      <w:r>
        <w:t>.</w:t>
      </w:r>
    </w:p>
    <w:p w14:paraId="6CDA148A" w14:textId="77777777" w:rsidR="006567C0" w:rsidRDefault="006567C0" w:rsidP="006567C0">
      <w:pPr>
        <w:tabs>
          <w:tab w:val="left" w:pos="3289"/>
        </w:tabs>
        <w:spacing w:before="120"/>
        <w:jc w:val="both"/>
      </w:pPr>
      <w:r>
        <w:tab/>
      </w:r>
    </w:p>
    <w:p w14:paraId="7312477D" w14:textId="77777777" w:rsidR="006567C0" w:rsidRDefault="006567C0"/>
    <w:sectPr w:rsidR="006567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C0"/>
    <w:rsid w:val="00280C06"/>
    <w:rsid w:val="006567C0"/>
    <w:rsid w:val="00966E1F"/>
    <w:rsid w:val="00C96E76"/>
    <w:rsid w:val="00D822BE"/>
    <w:rsid w:val="00E349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EFC3"/>
  <w15:chartTrackingRefBased/>
  <w15:docId w15:val="{C241457C-18E3-46C5-9196-D565BBCB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7C0"/>
    <w:pPr>
      <w:spacing w:after="0" w:line="259" w:lineRule="auto"/>
    </w:pPr>
    <w:rPr>
      <w:rFonts w:ascii="Arial" w:hAnsi="Arial"/>
      <w:kern w:val="0"/>
      <w:sz w:val="22"/>
      <w:szCs w:val="22"/>
      <w14:ligatures w14:val="none"/>
    </w:rPr>
  </w:style>
  <w:style w:type="paragraph" w:styleId="berschrift1">
    <w:name w:val="heading 1"/>
    <w:basedOn w:val="Standard"/>
    <w:next w:val="Standard"/>
    <w:link w:val="berschrift1Zchn"/>
    <w:uiPriority w:val="9"/>
    <w:qFormat/>
    <w:rsid w:val="006567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6567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6567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6567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6567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6567C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6567C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6567C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6567C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67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67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67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67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67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67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67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67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67C0"/>
    <w:rPr>
      <w:rFonts w:eastAsiaTheme="majorEastAsia" w:cstheme="majorBidi"/>
      <w:color w:val="272727" w:themeColor="text1" w:themeTint="D8"/>
    </w:rPr>
  </w:style>
  <w:style w:type="paragraph" w:styleId="Titel">
    <w:name w:val="Title"/>
    <w:basedOn w:val="Standard"/>
    <w:next w:val="Standard"/>
    <w:link w:val="TitelZchn"/>
    <w:uiPriority w:val="10"/>
    <w:qFormat/>
    <w:rsid w:val="006567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6567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67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6567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67C0"/>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6567C0"/>
    <w:rPr>
      <w:i/>
      <w:iCs/>
      <w:color w:val="404040" w:themeColor="text1" w:themeTint="BF"/>
    </w:rPr>
  </w:style>
  <w:style w:type="paragraph" w:styleId="Listenabsatz">
    <w:name w:val="List Paragraph"/>
    <w:basedOn w:val="Standard"/>
    <w:uiPriority w:val="34"/>
    <w:qFormat/>
    <w:rsid w:val="006567C0"/>
    <w:pPr>
      <w:spacing w:after="160" w:line="278" w:lineRule="auto"/>
      <w:ind w:left="720"/>
      <w:contextualSpacing/>
    </w:pPr>
    <w:rPr>
      <w:rFonts w:asciiTheme="minorHAnsi" w:hAnsiTheme="minorHAnsi"/>
      <w:kern w:val="2"/>
      <w:sz w:val="24"/>
      <w:szCs w:val="24"/>
      <w14:ligatures w14:val="standardContextual"/>
    </w:rPr>
  </w:style>
  <w:style w:type="character" w:styleId="IntensiveHervorhebung">
    <w:name w:val="Intense Emphasis"/>
    <w:basedOn w:val="Absatz-Standardschriftart"/>
    <w:uiPriority w:val="21"/>
    <w:qFormat/>
    <w:rsid w:val="006567C0"/>
    <w:rPr>
      <w:i/>
      <w:iCs/>
      <w:color w:val="0F4761" w:themeColor="accent1" w:themeShade="BF"/>
    </w:rPr>
  </w:style>
  <w:style w:type="paragraph" w:styleId="IntensivesZitat">
    <w:name w:val="Intense Quote"/>
    <w:basedOn w:val="Standard"/>
    <w:next w:val="Standard"/>
    <w:link w:val="IntensivesZitatZchn"/>
    <w:uiPriority w:val="30"/>
    <w:qFormat/>
    <w:rsid w:val="006567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6567C0"/>
    <w:rPr>
      <w:i/>
      <w:iCs/>
      <w:color w:val="0F4761" w:themeColor="accent1" w:themeShade="BF"/>
    </w:rPr>
  </w:style>
  <w:style w:type="character" w:styleId="IntensiverVerweis">
    <w:name w:val="Intense Reference"/>
    <w:basedOn w:val="Absatz-Standardschriftart"/>
    <w:uiPriority w:val="32"/>
    <w:qFormat/>
    <w:rsid w:val="006567C0"/>
    <w:rPr>
      <w:b/>
      <w:bCs/>
      <w:smallCaps/>
      <w:color w:val="0F4761" w:themeColor="accent1" w:themeShade="BF"/>
      <w:spacing w:val="5"/>
    </w:rPr>
  </w:style>
  <w:style w:type="table" w:styleId="Tabellenraster">
    <w:name w:val="Table Grid"/>
    <w:basedOn w:val="NormaleTabelle"/>
    <w:uiPriority w:val="39"/>
    <w:rsid w:val="006567C0"/>
    <w:pPr>
      <w:spacing w:after="0" w:line="240" w:lineRule="auto"/>
    </w:pPr>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567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ch/lsvw" TargetMode="External"/><Relationship Id="rId4" Type="http://schemas.openxmlformats.org/officeDocument/2006/relationships/hyperlink" Target="http://www.blv.adm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Brülhart</dc:creator>
  <cp:keywords/>
  <dc:description/>
  <cp:lastModifiedBy>Eliane Monod</cp:lastModifiedBy>
  <cp:revision>2</cp:revision>
  <cp:lastPrinted>2024-08-08T11:42:00Z</cp:lastPrinted>
  <dcterms:created xsi:type="dcterms:W3CDTF">2024-08-08T12:21:00Z</dcterms:created>
  <dcterms:modified xsi:type="dcterms:W3CDTF">2024-08-08T12:21:00Z</dcterms:modified>
</cp:coreProperties>
</file>